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AF" w:rsidRDefault="00F070E0">
      <w:pPr>
        <w:rPr>
          <w:b/>
        </w:rPr>
      </w:pPr>
      <w:r w:rsidRPr="00F070E0">
        <w:rPr>
          <w:b/>
        </w:rPr>
        <w:t>Overview of insolvency law in Australia</w:t>
      </w:r>
    </w:p>
    <w:p w:rsidR="00923693" w:rsidRPr="0061107F" w:rsidRDefault="003669B4" w:rsidP="0061107F">
      <w:pPr>
        <w:pStyle w:val="ListParagraph"/>
        <w:numPr>
          <w:ilvl w:val="0"/>
          <w:numId w:val="1"/>
        </w:numPr>
        <w:rPr>
          <w:b/>
        </w:rPr>
      </w:pPr>
      <w:r w:rsidRPr="00166981">
        <w:rPr>
          <w:b/>
        </w:rPr>
        <w:t>Legislation</w:t>
      </w:r>
    </w:p>
    <w:p w:rsidR="003669B4" w:rsidRPr="00166981" w:rsidRDefault="003669B4" w:rsidP="00166981">
      <w:pPr>
        <w:pStyle w:val="ListParagraph"/>
        <w:numPr>
          <w:ilvl w:val="0"/>
          <w:numId w:val="4"/>
        </w:numPr>
        <w:rPr>
          <w:i/>
        </w:rPr>
      </w:pPr>
      <w:r w:rsidRPr="00166981">
        <w:rPr>
          <w:i/>
        </w:rPr>
        <w:t>Corporations Act 2001 (</w:t>
      </w:r>
      <w:proofErr w:type="spellStart"/>
      <w:r w:rsidRPr="00166981">
        <w:rPr>
          <w:i/>
        </w:rPr>
        <w:t>Cth</w:t>
      </w:r>
      <w:proofErr w:type="spellEnd"/>
      <w:r w:rsidRPr="00166981">
        <w:rPr>
          <w:i/>
        </w:rPr>
        <w:t>);</w:t>
      </w:r>
      <w:r w:rsidR="00166981">
        <w:rPr>
          <w:i/>
        </w:rPr>
        <w:t xml:space="preserve"> </w:t>
      </w:r>
      <w:hyperlink r:id="rId5" w:history="1">
        <w:r w:rsidR="00166981" w:rsidRPr="0048094A">
          <w:rPr>
            <w:rStyle w:val="Hyperlink"/>
          </w:rPr>
          <w:t>https://www.legislation.gov.au/Details/C2018C00424</w:t>
        </w:r>
      </w:hyperlink>
      <w:r w:rsidR="00166981">
        <w:t xml:space="preserve"> </w:t>
      </w:r>
    </w:p>
    <w:p w:rsidR="00166981" w:rsidRDefault="003669B4" w:rsidP="00166981">
      <w:pPr>
        <w:pStyle w:val="ListParagraph"/>
        <w:numPr>
          <w:ilvl w:val="0"/>
          <w:numId w:val="4"/>
        </w:numPr>
      </w:pPr>
      <w:r>
        <w:t>Corporations Act 2001 (</w:t>
      </w:r>
      <w:proofErr w:type="spellStart"/>
      <w:r>
        <w:t>Cth</w:t>
      </w:r>
      <w:proofErr w:type="spellEnd"/>
      <w:r>
        <w:t>) Sch 2, being the Insolvency Practice Schedule</w:t>
      </w:r>
      <w:r w:rsidR="00166981">
        <w:t xml:space="preserve"> (Corporations) 2016; </w:t>
      </w:r>
      <w:hyperlink r:id="rId6" w:history="1">
        <w:r w:rsidR="00166981" w:rsidRPr="0048094A">
          <w:rPr>
            <w:rStyle w:val="Hyperlink"/>
          </w:rPr>
          <w:t>http://www5.austlii.edu.au/au/legis/cth/consol_act/ca2001172/sch2.html</w:t>
        </w:r>
      </w:hyperlink>
      <w:r w:rsidR="00166981">
        <w:t xml:space="preserve"> </w:t>
      </w:r>
    </w:p>
    <w:p w:rsidR="00166981" w:rsidRDefault="00166981" w:rsidP="00166981">
      <w:pPr>
        <w:pStyle w:val="ListParagraph"/>
        <w:numPr>
          <w:ilvl w:val="0"/>
          <w:numId w:val="4"/>
        </w:numPr>
      </w:pPr>
      <w:r>
        <w:t xml:space="preserve">Insolvency Practice Rules (Corporations) 2016; </w:t>
      </w:r>
      <w:hyperlink r:id="rId7" w:history="1">
        <w:r w:rsidRPr="0048094A">
          <w:rPr>
            <w:rStyle w:val="Hyperlink"/>
          </w:rPr>
          <w:t>https://www.legislation.gov.au/Details/F2018C00902</w:t>
        </w:r>
      </w:hyperlink>
      <w:r>
        <w:t xml:space="preserve"> </w:t>
      </w:r>
    </w:p>
    <w:p w:rsidR="00501FDE" w:rsidRPr="00080675" w:rsidRDefault="00166981" w:rsidP="00501FDE">
      <w:pPr>
        <w:pStyle w:val="ListParagraph"/>
        <w:numPr>
          <w:ilvl w:val="0"/>
          <w:numId w:val="4"/>
        </w:numPr>
      </w:pPr>
      <w:r>
        <w:rPr>
          <w:i/>
        </w:rPr>
        <w:t>Corporations Regulations 2001 (</w:t>
      </w:r>
      <w:proofErr w:type="spellStart"/>
      <w:r>
        <w:rPr>
          <w:i/>
        </w:rPr>
        <w:t>Cth</w:t>
      </w:r>
      <w:proofErr w:type="spellEnd"/>
      <w:r>
        <w:rPr>
          <w:i/>
        </w:rPr>
        <w:t xml:space="preserve">); </w:t>
      </w:r>
      <w:hyperlink r:id="rId8" w:history="1">
        <w:r w:rsidRPr="00166981">
          <w:rPr>
            <w:rStyle w:val="Hyperlink"/>
          </w:rPr>
          <w:t>https://www.legislation.gov.au/Series/F2001B00274</w:t>
        </w:r>
      </w:hyperlink>
      <w:r>
        <w:rPr>
          <w:i/>
        </w:rPr>
        <w:t xml:space="preserve"> </w:t>
      </w:r>
    </w:p>
    <w:p w:rsidR="00080675" w:rsidRDefault="00080675" w:rsidP="00080675">
      <w:pPr>
        <w:pStyle w:val="ListParagraph"/>
        <w:numPr>
          <w:ilvl w:val="0"/>
          <w:numId w:val="4"/>
        </w:numPr>
      </w:pPr>
      <w:r w:rsidRPr="00080675">
        <w:rPr>
          <w:i/>
        </w:rPr>
        <w:t>Cross-border Insolvency Act 2008 (</w:t>
      </w:r>
      <w:proofErr w:type="spellStart"/>
      <w:r w:rsidRPr="00080675">
        <w:rPr>
          <w:i/>
        </w:rPr>
        <w:t>Cth</w:t>
      </w:r>
      <w:proofErr w:type="spellEnd"/>
      <w:r w:rsidRPr="00080675">
        <w:rPr>
          <w:i/>
        </w:rPr>
        <w:t xml:space="preserve">); </w:t>
      </w:r>
      <w:hyperlink r:id="rId9" w:history="1">
        <w:r w:rsidRPr="00B61D67">
          <w:rPr>
            <w:rStyle w:val="Hyperlink"/>
          </w:rPr>
          <w:t>https://www.legislation.gov.au/Details/C2017C00063</w:t>
        </w:r>
      </w:hyperlink>
      <w:r>
        <w:t xml:space="preserve"> </w:t>
      </w:r>
    </w:p>
    <w:p w:rsidR="00080675" w:rsidRDefault="00080675" w:rsidP="00080675">
      <w:pPr>
        <w:pStyle w:val="ListParagraph"/>
        <w:numPr>
          <w:ilvl w:val="0"/>
          <w:numId w:val="4"/>
        </w:numPr>
      </w:pPr>
      <w:r>
        <w:rPr>
          <w:i/>
        </w:rPr>
        <w:t>Personal Property Securities Act 2009 (</w:t>
      </w:r>
      <w:proofErr w:type="spellStart"/>
      <w:r>
        <w:rPr>
          <w:i/>
        </w:rPr>
        <w:t>Cth</w:t>
      </w:r>
      <w:proofErr w:type="spellEnd"/>
      <w:r>
        <w:rPr>
          <w:i/>
        </w:rPr>
        <w:t>)</w:t>
      </w:r>
      <w:r>
        <w:t xml:space="preserve">; </w:t>
      </w:r>
      <w:r w:rsidRPr="00080675">
        <w:t xml:space="preserve"> </w:t>
      </w:r>
      <w:hyperlink r:id="rId10" w:history="1">
        <w:r w:rsidRPr="00B61D67">
          <w:rPr>
            <w:rStyle w:val="Hyperlink"/>
          </w:rPr>
          <w:t>https://www.legislation.gov.au/Details/C2018C00093</w:t>
        </w:r>
      </w:hyperlink>
      <w:r>
        <w:t xml:space="preserve"> </w:t>
      </w:r>
    </w:p>
    <w:p w:rsidR="003669B4" w:rsidRDefault="003669B4" w:rsidP="003669B4">
      <w:pPr>
        <w:pStyle w:val="ListParagraph"/>
      </w:pPr>
    </w:p>
    <w:p w:rsidR="00166981" w:rsidRDefault="00166981" w:rsidP="003669B4">
      <w:pPr>
        <w:pStyle w:val="ListParagraph"/>
      </w:pPr>
      <w:r>
        <w:t xml:space="preserve">The </w:t>
      </w:r>
      <w:r w:rsidR="00357D08">
        <w:t>Corporations Act 2001 (</w:t>
      </w:r>
      <w:proofErr w:type="spellStart"/>
      <w:r w:rsidR="00357D08">
        <w:t>Cth</w:t>
      </w:r>
      <w:proofErr w:type="spellEnd"/>
      <w:r w:rsidR="00357D08">
        <w:t xml:space="preserve">) is Australia’s primary </w:t>
      </w:r>
      <w:r w:rsidR="00923693">
        <w:t xml:space="preserve">corporate </w:t>
      </w:r>
      <w:r>
        <w:t>insolvency legislation</w:t>
      </w:r>
      <w:r w:rsidR="00357D08">
        <w:t>.</w:t>
      </w:r>
      <w:r>
        <w:t xml:space="preserve"> The Act is supplemented by the Insolvency Practice Schedule (Corporations), the Insolvency Practice Rules (Corporations) and the Corporations Regulations. </w:t>
      </w:r>
      <w:r w:rsidR="00923693">
        <w:t xml:space="preserve">The Corporations Act relates to corporations only, and personal insolvency (bankruptcy) is legislated under the </w:t>
      </w:r>
      <w:r w:rsidR="00923693" w:rsidRPr="00923693">
        <w:rPr>
          <w:i/>
        </w:rPr>
        <w:t>Bankruptcy Act 1966 (</w:t>
      </w:r>
      <w:proofErr w:type="spellStart"/>
      <w:r w:rsidR="00923693" w:rsidRPr="00923693">
        <w:rPr>
          <w:i/>
        </w:rPr>
        <w:t>Cth</w:t>
      </w:r>
      <w:proofErr w:type="spellEnd"/>
      <w:r w:rsidR="00923693" w:rsidRPr="00923693">
        <w:rPr>
          <w:i/>
        </w:rPr>
        <w:t>)</w:t>
      </w:r>
      <w:r w:rsidR="00553046">
        <w:rPr>
          <w:i/>
        </w:rPr>
        <w:t xml:space="preserve"> </w:t>
      </w:r>
      <w:r w:rsidR="00553046" w:rsidRPr="00553046">
        <w:t>(</w:t>
      </w:r>
      <w:hyperlink r:id="rId11" w:history="1">
        <w:r w:rsidR="00553046" w:rsidRPr="00553046">
          <w:rPr>
            <w:rStyle w:val="Hyperlink"/>
          </w:rPr>
          <w:t>https://www.legislation.gov.au/Details/C2018C00432</w:t>
        </w:r>
      </w:hyperlink>
      <w:r w:rsidR="00553046" w:rsidRPr="00553046">
        <w:t>)</w:t>
      </w:r>
      <w:r w:rsidR="00923693">
        <w:t>.</w:t>
      </w:r>
    </w:p>
    <w:p w:rsidR="00166981" w:rsidRDefault="00166981" w:rsidP="003669B4">
      <w:pPr>
        <w:pStyle w:val="ListParagraph"/>
      </w:pPr>
    </w:p>
    <w:p w:rsidR="00166981" w:rsidRDefault="00357D08" w:rsidP="003669B4">
      <w:pPr>
        <w:pStyle w:val="ListParagraph"/>
      </w:pPr>
      <w:r>
        <w:t xml:space="preserve">Australia’s Corporations Act is extensive with over 1,642 sections </w:t>
      </w:r>
      <w:r w:rsidR="00923693">
        <w:t>contained in</w:t>
      </w:r>
      <w:r>
        <w:t xml:space="preserve"> 10 parts. Amongst other things, the Corporations Act regulates the formation and operation of companies in Australia as well as the insolvency and winding up of companies in Australia. </w:t>
      </w:r>
      <w:r w:rsidR="005B2E1E">
        <w:t>Companies can be forma</w:t>
      </w:r>
      <w:r w:rsidR="00E06EC9">
        <w:t xml:space="preserve">lly restructured through voluntary administration and schemes of arrangement. </w:t>
      </w:r>
    </w:p>
    <w:p w:rsidR="004E74C0" w:rsidRDefault="004E74C0" w:rsidP="003669B4">
      <w:pPr>
        <w:pStyle w:val="ListParagraph"/>
      </w:pPr>
    </w:p>
    <w:p w:rsidR="00923693" w:rsidRDefault="004E74C0" w:rsidP="00923693">
      <w:pPr>
        <w:pStyle w:val="ListParagraph"/>
      </w:pPr>
      <w:r>
        <w:t>Chapter 5 of the Corporations Act regulates the external administration of companies in Australia. This includes the</w:t>
      </w:r>
      <w:r w:rsidR="00501FDE">
        <w:t xml:space="preserve"> arrangement and reconstruction</w:t>
      </w:r>
      <w:r>
        <w:t xml:space="preserve"> of companies, the appointment of receivers and controllers over company property, winding up of companies in insolvency and the deregistration and transfer </w:t>
      </w:r>
      <w:r w:rsidR="00501FDE">
        <w:t>of</w:t>
      </w:r>
      <w:r>
        <w:t xml:space="preserve"> registration of companies</w:t>
      </w:r>
      <w:r w:rsidR="00501FDE">
        <w:t>, amongst many other actions</w:t>
      </w:r>
      <w:r>
        <w:t>.</w:t>
      </w:r>
    </w:p>
    <w:p w:rsidR="00166981" w:rsidRDefault="004E74C0" w:rsidP="00923693">
      <w:pPr>
        <w:pStyle w:val="ListParagraph"/>
      </w:pPr>
      <w:r>
        <w:t xml:space="preserve"> </w:t>
      </w:r>
    </w:p>
    <w:p w:rsidR="003669B4" w:rsidRPr="0061107F" w:rsidRDefault="00F070E0" w:rsidP="0061107F">
      <w:pPr>
        <w:pStyle w:val="ListParagraph"/>
        <w:numPr>
          <w:ilvl w:val="0"/>
          <w:numId w:val="1"/>
        </w:numPr>
        <w:rPr>
          <w:b/>
        </w:rPr>
      </w:pPr>
      <w:r w:rsidRPr="00501FDE">
        <w:rPr>
          <w:b/>
        </w:rPr>
        <w:t>Government departments and regulation</w:t>
      </w:r>
    </w:p>
    <w:p w:rsidR="00357D08" w:rsidRPr="00EC7EA9" w:rsidRDefault="00357D08" w:rsidP="003669B4">
      <w:pPr>
        <w:pStyle w:val="ListParagraph"/>
      </w:pPr>
      <w:r>
        <w:t>The Australia</w:t>
      </w:r>
      <w:r w:rsidR="00E06EC9">
        <w:t>n</w:t>
      </w:r>
      <w:r>
        <w:t xml:space="preserve"> Securities and Investments Commission (ASIC) </w:t>
      </w:r>
      <w:r w:rsidR="00553046">
        <w:t>(</w:t>
      </w:r>
      <w:hyperlink r:id="rId12" w:history="1">
        <w:r w:rsidR="00553046" w:rsidRPr="00E42AED">
          <w:rPr>
            <w:rStyle w:val="Hyperlink"/>
          </w:rPr>
          <w:t>https://asic.gov.au/</w:t>
        </w:r>
      </w:hyperlink>
      <w:r w:rsidR="00553046">
        <w:t xml:space="preserve">) </w:t>
      </w:r>
      <w:r>
        <w:t xml:space="preserve">is the principal regulator of </w:t>
      </w:r>
      <w:r w:rsidR="00E06EC9">
        <w:t xml:space="preserve">corporations (and </w:t>
      </w:r>
      <w:r>
        <w:t>insolvency law</w:t>
      </w:r>
      <w:r w:rsidR="00E06EC9">
        <w:t>)</w:t>
      </w:r>
      <w:r>
        <w:t xml:space="preserve"> in Australia.</w:t>
      </w:r>
      <w:r w:rsidR="00036FEC">
        <w:t xml:space="preserve"> ASIC also has the power in Australia to order the winding up of a company under part 5.4C of </w:t>
      </w:r>
      <w:r w:rsidR="00036FEC" w:rsidRPr="00EC7EA9">
        <w:t xml:space="preserve">the Corporations Act without requiring a court order. </w:t>
      </w:r>
    </w:p>
    <w:p w:rsidR="009B75ED" w:rsidRPr="00EC7EA9" w:rsidRDefault="009B75ED" w:rsidP="003669B4">
      <w:pPr>
        <w:pStyle w:val="ListParagraph"/>
      </w:pPr>
    </w:p>
    <w:p w:rsidR="009B75ED" w:rsidRPr="00EC7EA9" w:rsidRDefault="009B75ED" w:rsidP="003669B4">
      <w:pPr>
        <w:pStyle w:val="ListParagraph"/>
      </w:pPr>
      <w:r w:rsidRPr="00EC7EA9">
        <w:t>The Australian Prudential Regulation Authority (APRA)</w:t>
      </w:r>
      <w:r w:rsidR="00553046">
        <w:t xml:space="preserve"> (</w:t>
      </w:r>
      <w:hyperlink r:id="rId13" w:history="1">
        <w:r w:rsidR="00553046" w:rsidRPr="00E42AED">
          <w:rPr>
            <w:rStyle w:val="Hyperlink"/>
          </w:rPr>
          <w:t>https://www.apra.gov.au/</w:t>
        </w:r>
      </w:hyperlink>
      <w:r w:rsidR="00553046">
        <w:t xml:space="preserve">) </w:t>
      </w:r>
      <w:r w:rsidRPr="00EC7EA9">
        <w:t>also has regulatory powers in insolvency in regards to banks and other authorised deposit taking institutions and insurers.</w:t>
      </w:r>
    </w:p>
    <w:p w:rsidR="003669B4" w:rsidRDefault="003669B4" w:rsidP="003669B4">
      <w:pPr>
        <w:pStyle w:val="ListParagraph"/>
      </w:pPr>
    </w:p>
    <w:p w:rsidR="00923693" w:rsidRPr="0061107F" w:rsidRDefault="00F070E0" w:rsidP="0061107F">
      <w:pPr>
        <w:pStyle w:val="ListParagraph"/>
        <w:numPr>
          <w:ilvl w:val="0"/>
          <w:numId w:val="1"/>
        </w:numPr>
        <w:rPr>
          <w:b/>
        </w:rPr>
      </w:pPr>
      <w:r w:rsidRPr="00036FEC">
        <w:rPr>
          <w:b/>
        </w:rPr>
        <w:t xml:space="preserve">Courts </w:t>
      </w:r>
      <w:r w:rsidR="00E06EC9">
        <w:rPr>
          <w:b/>
        </w:rPr>
        <w:t>with jurisdiction over insolvency</w:t>
      </w:r>
    </w:p>
    <w:p w:rsidR="00BD7B5E" w:rsidRDefault="00BD7B5E" w:rsidP="00EC7EA9">
      <w:pPr>
        <w:pStyle w:val="ListParagraph"/>
        <w:numPr>
          <w:ilvl w:val="0"/>
          <w:numId w:val="8"/>
        </w:numPr>
      </w:pPr>
      <w:r>
        <w:t>Federal Court of Australia</w:t>
      </w:r>
      <w:r w:rsidR="00553046">
        <w:t xml:space="preserve"> </w:t>
      </w:r>
      <w:hyperlink r:id="rId14" w:history="1">
        <w:r w:rsidR="00553046" w:rsidRPr="00B61D67">
          <w:rPr>
            <w:rStyle w:val="Hyperlink"/>
          </w:rPr>
          <w:t>http://www.fedcourt.gov.au/</w:t>
        </w:r>
      </w:hyperlink>
    </w:p>
    <w:p w:rsidR="00BD7B5E" w:rsidRDefault="00BD7B5E" w:rsidP="00EC7EA9">
      <w:pPr>
        <w:pStyle w:val="ListParagraph"/>
        <w:numPr>
          <w:ilvl w:val="0"/>
          <w:numId w:val="8"/>
        </w:numPr>
      </w:pPr>
      <w:r>
        <w:t>New South Wales Supreme Court</w:t>
      </w:r>
      <w:r w:rsidR="00553046">
        <w:t xml:space="preserve"> </w:t>
      </w:r>
      <w:hyperlink r:id="rId15" w:history="1">
        <w:r w:rsidR="00553046" w:rsidRPr="00B61D67">
          <w:rPr>
            <w:rStyle w:val="Hyperlink"/>
          </w:rPr>
          <w:t>http://www.supremecourt.justice.nsw.gov.au/</w:t>
        </w:r>
      </w:hyperlink>
    </w:p>
    <w:p w:rsidR="00BD7B5E" w:rsidRDefault="00BD7B5E" w:rsidP="00553046">
      <w:pPr>
        <w:pStyle w:val="ListParagraph"/>
        <w:numPr>
          <w:ilvl w:val="0"/>
          <w:numId w:val="6"/>
        </w:numPr>
      </w:pPr>
      <w:r>
        <w:t>Victorian Supreme Court</w:t>
      </w:r>
      <w:r w:rsidR="00553046">
        <w:t xml:space="preserve"> </w:t>
      </w:r>
      <w:hyperlink r:id="rId16" w:history="1">
        <w:r w:rsidR="00553046" w:rsidRPr="00B61D67">
          <w:rPr>
            <w:rStyle w:val="Hyperlink"/>
          </w:rPr>
          <w:t>https://www.supremecourt.vic.gov.au/</w:t>
        </w:r>
      </w:hyperlink>
      <w:r w:rsidR="00553046">
        <w:t xml:space="preserve"> </w:t>
      </w:r>
    </w:p>
    <w:p w:rsidR="00BD7B5E" w:rsidRDefault="00BD7B5E" w:rsidP="00EC7EA9">
      <w:pPr>
        <w:pStyle w:val="ListParagraph"/>
        <w:numPr>
          <w:ilvl w:val="0"/>
          <w:numId w:val="8"/>
        </w:numPr>
      </w:pPr>
      <w:r>
        <w:t>Supreme Court of each State and Territory</w:t>
      </w:r>
    </w:p>
    <w:p w:rsidR="00E06EC9" w:rsidRDefault="00E06EC9" w:rsidP="00EC7EA9">
      <w:pPr>
        <w:pStyle w:val="ListParagraph"/>
        <w:numPr>
          <w:ilvl w:val="0"/>
          <w:numId w:val="8"/>
        </w:numPr>
      </w:pPr>
      <w:r>
        <w:t>The higher appellate court is the High Court of Australia</w:t>
      </w:r>
      <w:bookmarkStart w:id="0" w:name="_GoBack"/>
      <w:bookmarkEnd w:id="0"/>
    </w:p>
    <w:p w:rsidR="00BD7B5E" w:rsidRDefault="00BD7B5E" w:rsidP="00BD7B5E">
      <w:pPr>
        <w:pStyle w:val="ListParagraph"/>
      </w:pPr>
    </w:p>
    <w:p w:rsidR="0061107F" w:rsidRPr="0061107F" w:rsidRDefault="00F070E0" w:rsidP="00036FEC">
      <w:pPr>
        <w:pStyle w:val="ListParagraph"/>
        <w:numPr>
          <w:ilvl w:val="0"/>
          <w:numId w:val="1"/>
        </w:numPr>
      </w:pPr>
      <w:r w:rsidRPr="0061107F">
        <w:rPr>
          <w:b/>
        </w:rPr>
        <w:t>Legal research sites</w:t>
      </w:r>
    </w:p>
    <w:p w:rsidR="00036FEC" w:rsidRDefault="00036FEC" w:rsidP="0061107F">
      <w:pPr>
        <w:ind w:left="360" w:firstLine="360"/>
      </w:pPr>
      <w:r>
        <w:lastRenderedPageBreak/>
        <w:t>The principal legal research websites in Australia are:</w:t>
      </w:r>
    </w:p>
    <w:p w:rsidR="00036FEC" w:rsidRDefault="00AC44A1" w:rsidP="00AC44A1">
      <w:pPr>
        <w:pStyle w:val="ListParagraph"/>
        <w:numPr>
          <w:ilvl w:val="0"/>
          <w:numId w:val="6"/>
        </w:numPr>
      </w:pPr>
      <w:proofErr w:type="spellStart"/>
      <w:r>
        <w:t>AustLII</w:t>
      </w:r>
      <w:proofErr w:type="spellEnd"/>
      <w:r>
        <w:t>;</w:t>
      </w:r>
      <w:r w:rsidRPr="00AC44A1">
        <w:t xml:space="preserve"> </w:t>
      </w:r>
      <w:hyperlink r:id="rId17" w:history="1">
        <w:r w:rsidRPr="0048094A">
          <w:rPr>
            <w:rStyle w:val="Hyperlink"/>
          </w:rPr>
          <w:t>http://www.austlii.edu.au</w:t>
        </w:r>
      </w:hyperlink>
    </w:p>
    <w:p w:rsidR="00AC44A1" w:rsidRDefault="00923693" w:rsidP="00AC44A1">
      <w:pPr>
        <w:pStyle w:val="ListParagraph"/>
        <w:numPr>
          <w:ilvl w:val="0"/>
          <w:numId w:val="6"/>
        </w:numPr>
      </w:pPr>
      <w:r>
        <w:t xml:space="preserve">Jade; </w:t>
      </w:r>
      <w:r w:rsidR="00AC44A1" w:rsidRPr="00AC44A1">
        <w:t xml:space="preserve"> </w:t>
      </w:r>
      <w:hyperlink r:id="rId18" w:history="1">
        <w:r w:rsidR="00AC44A1" w:rsidRPr="0048094A">
          <w:rPr>
            <w:rStyle w:val="Hyperlink"/>
          </w:rPr>
          <w:t>https://jade.io/</w:t>
        </w:r>
      </w:hyperlink>
    </w:p>
    <w:p w:rsidR="00EC7EA9" w:rsidRDefault="00080675" w:rsidP="00080675">
      <w:pPr>
        <w:pStyle w:val="ListParagraph"/>
        <w:numPr>
          <w:ilvl w:val="0"/>
          <w:numId w:val="6"/>
        </w:numPr>
      </w:pPr>
      <w:r>
        <w:t>Federal Register of Legislation</w:t>
      </w:r>
      <w:r w:rsidRPr="00080675">
        <w:t xml:space="preserve"> </w:t>
      </w:r>
      <w:hyperlink r:id="rId19" w:history="1">
        <w:r w:rsidRPr="00B61D67">
          <w:rPr>
            <w:rStyle w:val="Hyperlink"/>
          </w:rPr>
          <w:t>https://www.legislation.gov.au/</w:t>
        </w:r>
      </w:hyperlink>
      <w:r>
        <w:t xml:space="preserve"> </w:t>
      </w:r>
    </w:p>
    <w:p w:rsidR="00923693" w:rsidRDefault="00923693" w:rsidP="00923693">
      <w:pPr>
        <w:pStyle w:val="ListParagraph"/>
        <w:numPr>
          <w:ilvl w:val="0"/>
          <w:numId w:val="6"/>
        </w:numPr>
      </w:pPr>
      <w:r>
        <w:t>Federal Court of Australia</w:t>
      </w:r>
      <w:r w:rsidRPr="00923693">
        <w:t xml:space="preserve"> </w:t>
      </w:r>
      <w:hyperlink r:id="rId20" w:history="1">
        <w:r w:rsidRPr="00B61D67">
          <w:rPr>
            <w:rStyle w:val="Hyperlink"/>
          </w:rPr>
          <w:t>http://www.fedcourt.gov.au/</w:t>
        </w:r>
      </w:hyperlink>
      <w:r>
        <w:t xml:space="preserve"> </w:t>
      </w:r>
    </w:p>
    <w:p w:rsidR="00AC44A1" w:rsidRDefault="00923693" w:rsidP="00923693">
      <w:pPr>
        <w:pStyle w:val="ListParagraph"/>
        <w:numPr>
          <w:ilvl w:val="0"/>
          <w:numId w:val="6"/>
        </w:numPr>
      </w:pPr>
      <w:r>
        <w:t xml:space="preserve">Supreme Court of New South Wales </w:t>
      </w:r>
      <w:hyperlink r:id="rId21" w:history="1">
        <w:r w:rsidRPr="00B61D67">
          <w:rPr>
            <w:rStyle w:val="Hyperlink"/>
          </w:rPr>
          <w:t>http://www.supremecourt.justice.nsw.gov.au/</w:t>
        </w:r>
      </w:hyperlink>
    </w:p>
    <w:p w:rsidR="00923693" w:rsidRDefault="00923693" w:rsidP="00923693">
      <w:pPr>
        <w:pStyle w:val="ListParagraph"/>
        <w:numPr>
          <w:ilvl w:val="0"/>
          <w:numId w:val="6"/>
        </w:numPr>
      </w:pPr>
      <w:r>
        <w:t xml:space="preserve">Supreme Court of Victoria </w:t>
      </w:r>
      <w:hyperlink r:id="rId22" w:history="1">
        <w:r w:rsidRPr="00B61D67">
          <w:rPr>
            <w:rStyle w:val="Hyperlink"/>
          </w:rPr>
          <w:t>https://www.supremecourt.vic.gov.au/</w:t>
        </w:r>
      </w:hyperlink>
      <w:r>
        <w:t xml:space="preserve"> </w:t>
      </w:r>
    </w:p>
    <w:p w:rsidR="00AC44A1" w:rsidRDefault="00AC44A1" w:rsidP="00AC44A1">
      <w:pPr>
        <w:pStyle w:val="ListParagraph"/>
      </w:pPr>
    </w:p>
    <w:p w:rsidR="0061107F" w:rsidRPr="0061107F" w:rsidRDefault="00F070E0" w:rsidP="0061107F">
      <w:pPr>
        <w:pStyle w:val="ListParagraph"/>
        <w:numPr>
          <w:ilvl w:val="0"/>
          <w:numId w:val="1"/>
        </w:numPr>
        <w:rPr>
          <w:b/>
        </w:rPr>
      </w:pPr>
      <w:r w:rsidRPr="00036FEC">
        <w:rPr>
          <w:b/>
        </w:rPr>
        <w:t>Professional organisations</w:t>
      </w:r>
    </w:p>
    <w:p w:rsidR="003669B4" w:rsidRDefault="00923693" w:rsidP="00553046">
      <w:pPr>
        <w:pStyle w:val="ListParagraph"/>
        <w:numPr>
          <w:ilvl w:val="0"/>
          <w:numId w:val="7"/>
        </w:numPr>
      </w:pPr>
      <w:r>
        <w:t>Australian Restructuring Insolvency &amp; Turnaround Association (</w:t>
      </w:r>
      <w:r w:rsidR="00EC7EA9">
        <w:t>ARITA</w:t>
      </w:r>
      <w:r w:rsidR="00553046">
        <w:t xml:space="preserve">) </w:t>
      </w:r>
      <w:hyperlink r:id="rId23" w:history="1">
        <w:r w:rsidR="00553046" w:rsidRPr="00E42AED">
          <w:rPr>
            <w:rStyle w:val="Hyperlink"/>
          </w:rPr>
          <w:t>https://www.arita.com.au</w:t>
        </w:r>
      </w:hyperlink>
      <w:r w:rsidR="00553046">
        <w:t xml:space="preserve"> </w:t>
      </w:r>
    </w:p>
    <w:p w:rsidR="00EC7EA9" w:rsidRDefault="00923693" w:rsidP="00553046">
      <w:pPr>
        <w:pStyle w:val="ListParagraph"/>
        <w:numPr>
          <w:ilvl w:val="0"/>
          <w:numId w:val="7"/>
        </w:numPr>
      </w:pPr>
      <w:r>
        <w:t>T</w:t>
      </w:r>
      <w:r w:rsidR="00EC7EA9">
        <w:t xml:space="preserve">urnaround </w:t>
      </w:r>
      <w:r>
        <w:t>Management Association (TMA)</w:t>
      </w:r>
      <w:r w:rsidR="00553046">
        <w:t xml:space="preserve"> </w:t>
      </w:r>
      <w:hyperlink r:id="rId24" w:history="1">
        <w:r w:rsidR="00553046" w:rsidRPr="00E42AED">
          <w:rPr>
            <w:rStyle w:val="Hyperlink"/>
          </w:rPr>
          <w:t>https://www.turnaround.org.au</w:t>
        </w:r>
      </w:hyperlink>
      <w:r w:rsidR="00553046">
        <w:t xml:space="preserve"> </w:t>
      </w:r>
    </w:p>
    <w:p w:rsidR="00EC7EA9" w:rsidRDefault="00923693" w:rsidP="00553046">
      <w:pPr>
        <w:pStyle w:val="ListParagraph"/>
        <w:numPr>
          <w:ilvl w:val="0"/>
          <w:numId w:val="7"/>
        </w:numPr>
      </w:pPr>
      <w:r>
        <w:t>Association of Independent Insolvency Practitioners (AIIP)</w:t>
      </w:r>
      <w:r w:rsidR="00553046">
        <w:t xml:space="preserve"> </w:t>
      </w:r>
      <w:hyperlink r:id="rId25" w:history="1">
        <w:r w:rsidR="00553046" w:rsidRPr="00E42AED">
          <w:rPr>
            <w:rStyle w:val="Hyperlink"/>
          </w:rPr>
          <w:t>https://aiip.org.au/</w:t>
        </w:r>
      </w:hyperlink>
      <w:r w:rsidR="00553046">
        <w:t xml:space="preserve"> </w:t>
      </w:r>
    </w:p>
    <w:p w:rsidR="003669B4" w:rsidRPr="00F070E0" w:rsidRDefault="003669B4" w:rsidP="00923693">
      <w:pPr>
        <w:ind w:left="360"/>
      </w:pPr>
    </w:p>
    <w:sectPr w:rsidR="003669B4" w:rsidRPr="00F0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54F"/>
    <w:multiLevelType w:val="hybridMultilevel"/>
    <w:tmpl w:val="85A6B1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3E5E"/>
    <w:multiLevelType w:val="hybridMultilevel"/>
    <w:tmpl w:val="AE58EBCC"/>
    <w:lvl w:ilvl="0" w:tplc="EDE4F3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B2BFA"/>
    <w:multiLevelType w:val="hybridMultilevel"/>
    <w:tmpl w:val="BBF4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45A"/>
    <w:multiLevelType w:val="hybridMultilevel"/>
    <w:tmpl w:val="7C621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3373"/>
    <w:multiLevelType w:val="hybridMultilevel"/>
    <w:tmpl w:val="9FDE8556"/>
    <w:lvl w:ilvl="0" w:tplc="EDE4F3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3CC8"/>
    <w:multiLevelType w:val="hybridMultilevel"/>
    <w:tmpl w:val="180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2C2"/>
    <w:multiLevelType w:val="hybridMultilevel"/>
    <w:tmpl w:val="6E6EF410"/>
    <w:lvl w:ilvl="0" w:tplc="EDE4F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4654A"/>
    <w:multiLevelType w:val="hybridMultilevel"/>
    <w:tmpl w:val="0FE62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E0"/>
    <w:rsid w:val="00036FEC"/>
    <w:rsid w:val="00080675"/>
    <w:rsid w:val="00166981"/>
    <w:rsid w:val="00357D08"/>
    <w:rsid w:val="003669B4"/>
    <w:rsid w:val="004E74C0"/>
    <w:rsid w:val="004E793C"/>
    <w:rsid w:val="00501FDE"/>
    <w:rsid w:val="00553046"/>
    <w:rsid w:val="005B2E1E"/>
    <w:rsid w:val="006046AF"/>
    <w:rsid w:val="0061107F"/>
    <w:rsid w:val="007F5CFA"/>
    <w:rsid w:val="00923693"/>
    <w:rsid w:val="009B75ED"/>
    <w:rsid w:val="00AC44A1"/>
    <w:rsid w:val="00BD7B5E"/>
    <w:rsid w:val="00E06EC9"/>
    <w:rsid w:val="00EC7EA9"/>
    <w:rsid w:val="00F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9296"/>
  <w15:chartTrackingRefBased/>
  <w15:docId w15:val="{CB406B98-3070-4DB1-B1BA-A0D852F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9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01B00274" TargetMode="External"/><Relationship Id="rId13" Type="http://schemas.openxmlformats.org/officeDocument/2006/relationships/hyperlink" Target="https://www.apra.gov.au/" TargetMode="External"/><Relationship Id="rId18" Type="http://schemas.openxmlformats.org/officeDocument/2006/relationships/hyperlink" Target="https://jade.i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upremecourt.justice.nsw.gov.au/" TargetMode="External"/><Relationship Id="rId7" Type="http://schemas.openxmlformats.org/officeDocument/2006/relationships/hyperlink" Target="https://www.legislation.gov.au/Details/F2018C00902" TargetMode="External"/><Relationship Id="rId12" Type="http://schemas.openxmlformats.org/officeDocument/2006/relationships/hyperlink" Target="https://asic.gov.au/" TargetMode="External"/><Relationship Id="rId17" Type="http://schemas.openxmlformats.org/officeDocument/2006/relationships/hyperlink" Target="http://www.austlii.edu.au" TargetMode="External"/><Relationship Id="rId25" Type="http://schemas.openxmlformats.org/officeDocument/2006/relationships/hyperlink" Target="https://aiip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remecourt.vic.gov.au/" TargetMode="External"/><Relationship Id="rId20" Type="http://schemas.openxmlformats.org/officeDocument/2006/relationships/hyperlink" Target="http://www.fedcourt.gov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5.austlii.edu.au/au/legis/cth/consol_act/ca2001172/sch2.html" TargetMode="External"/><Relationship Id="rId11" Type="http://schemas.openxmlformats.org/officeDocument/2006/relationships/hyperlink" Target="https://www.legislation.gov.au/Details/C2018C00432" TargetMode="External"/><Relationship Id="rId24" Type="http://schemas.openxmlformats.org/officeDocument/2006/relationships/hyperlink" Target="https://www.turnaround.org.au" TargetMode="External"/><Relationship Id="rId5" Type="http://schemas.openxmlformats.org/officeDocument/2006/relationships/hyperlink" Target="https://www.legislation.gov.au/Details/C2018C00424" TargetMode="External"/><Relationship Id="rId15" Type="http://schemas.openxmlformats.org/officeDocument/2006/relationships/hyperlink" Target="http://www.supremecourt.justice.nsw.gov.au/" TargetMode="External"/><Relationship Id="rId23" Type="http://schemas.openxmlformats.org/officeDocument/2006/relationships/hyperlink" Target="https://www.arita.com.au" TargetMode="External"/><Relationship Id="rId10" Type="http://schemas.openxmlformats.org/officeDocument/2006/relationships/hyperlink" Target="https://www.legislation.gov.au/Details/C2018C00093" TargetMode="External"/><Relationship Id="rId19" Type="http://schemas.openxmlformats.org/officeDocument/2006/relationships/hyperlink" Target="https://www.legislation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C2017C00063" TargetMode="External"/><Relationship Id="rId14" Type="http://schemas.openxmlformats.org/officeDocument/2006/relationships/hyperlink" Target="http://www.fedcourt.gov.au/" TargetMode="External"/><Relationship Id="rId22" Type="http://schemas.openxmlformats.org/officeDocument/2006/relationships/hyperlink" Target="https://www.supremecourt.vic.gov.a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Willgoose</dc:creator>
  <cp:keywords/>
  <dc:description/>
  <cp:lastModifiedBy>Ben Sewell</cp:lastModifiedBy>
  <cp:revision>3</cp:revision>
  <cp:lastPrinted>2019-01-21T06:53:00Z</cp:lastPrinted>
  <dcterms:created xsi:type="dcterms:W3CDTF">2019-01-21T06:55:00Z</dcterms:created>
  <dcterms:modified xsi:type="dcterms:W3CDTF">2019-01-21T07:07:00Z</dcterms:modified>
</cp:coreProperties>
</file>